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75483"/>
        </w:rPr>
        <w:t>Макрообзор рынка — Консенсус РЕНОМЕ</w:t>
      </w:r>
    </w:p>
    <w:p>
      <w:r>
        <w:rPr>
          <w:color w:val="5B6469"/>
          <w:sz w:val="21"/>
        </w:rPr>
        <w:t>Ключевая ставка, инфляция, курс, нефть и прогноз ВВП на три даты среза — по официальным источникам (ЦБ РФ, Росстат, Минэкономразвития, МВФ). Без политических оценок и мнений компании.</w:t>
      </w:r>
    </w:p>
    <w:p>
      <w:pPr>
        <w:pStyle w:val="Caption"/>
      </w:pPr>
      <w:r>
        <w:t xml:space="preserve">Таблица </w:t>
      </w:r>
      <w:r>
        <w:fldChar w:fldCharType="begin"/>
        <w:instrText xml:space="preserve"> SEQ Таблица \* ARABIC </w:instrText>
        <w:fldChar w:fldCharType="separate"/>
        <w:t>1</w:t>
        <w:fldChar w:fldCharType="end"/>
      </w:r>
      <w:r>
        <w:t xml:space="preserve"> – Ключевые макропоказатели на три даты среза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Показатель</w:t>
            </w:r>
          </w:p>
        </w:tc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01.01.2026</w:t>
            </w:r>
          </w:p>
        </w:tc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01.07.2026</w:t>
            </w:r>
          </w:p>
        </w:tc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Текущая (28.09.2026)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Ключевая ставка ЦБ РФ</w:t>
            </w:r>
          </w:p>
        </w:tc>
        <w:tc>
          <w:tcPr>
            <w:tcW w:type="dxa" w:w="2493"/>
          </w:tcPr>
          <w:p>
            <w:r>
              <w:t>16,00%</w:t>
            </w:r>
          </w:p>
        </w:tc>
        <w:tc>
          <w:tcPr>
            <w:tcW w:type="dxa" w:w="2493"/>
          </w:tcPr>
          <w:p>
            <w:r>
              <w:t>14,25%</w:t>
            </w:r>
          </w:p>
        </w:tc>
        <w:tc>
          <w:tcPr>
            <w:tcW w:type="dxa" w:w="2493"/>
          </w:tcPr>
          <w:p>
            <w:r>
              <w:t>14,00%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Инфляция, % г/г</w:t>
            </w:r>
          </w:p>
        </w:tc>
        <w:tc>
          <w:tcPr>
            <w:tcW w:type="dxa" w:w="2493"/>
          </w:tcPr>
          <w:p>
            <w:r>
              <w:t>5,59%</w:t>
            </w:r>
          </w:p>
        </w:tc>
        <w:tc>
          <w:tcPr>
            <w:tcW w:type="dxa" w:w="2493"/>
          </w:tcPr>
          <w:p>
            <w:r>
              <w:t>5,98%</w:t>
            </w:r>
          </w:p>
        </w:tc>
        <w:tc>
          <w:tcPr>
            <w:tcW w:type="dxa" w:w="2493"/>
          </w:tcPr>
          <w:p>
            <w:r>
              <w:t>6,3%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Курс USD/RUB</w:t>
            </w:r>
          </w:p>
        </w:tc>
        <w:tc>
          <w:tcPr>
            <w:tcW w:type="dxa" w:w="2493"/>
          </w:tcPr>
          <w:p>
            <w:r>
              <w:t>78,2267</w:t>
            </w:r>
          </w:p>
        </w:tc>
        <w:tc>
          <w:tcPr>
            <w:tcW w:type="dxa" w:w="2493"/>
          </w:tcPr>
          <w:p>
            <w:r>
              <w:t>78,2696</w:t>
            </w:r>
          </w:p>
        </w:tc>
        <w:tc>
          <w:tcPr>
            <w:tcW w:type="dxa" w:w="2493"/>
          </w:tcPr>
          <w:p>
            <w:r>
              <w:t>84,3414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Курс EUR/RUB</w:t>
            </w:r>
          </w:p>
        </w:tc>
        <w:tc>
          <w:tcPr>
            <w:tcW w:type="dxa" w:w="2493"/>
          </w:tcPr>
          <w:p>
            <w:r>
              <w:t>92,0938</w:t>
            </w:r>
          </w:p>
        </w:tc>
        <w:tc>
          <w:tcPr>
            <w:tcW w:type="dxa" w:w="2493"/>
          </w:tcPr>
          <w:p>
            <w:r>
              <w:t>89,2743</w:t>
            </w:r>
          </w:p>
        </w:tc>
        <w:tc>
          <w:tcPr>
            <w:tcW w:type="dxa" w:w="2493"/>
          </w:tcPr>
          <w:p>
            <w:r>
              <w:t>95,8709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Нефть Urals, $/барр.</w:t>
            </w:r>
          </w:p>
        </w:tc>
        <w:tc>
          <w:tcPr>
            <w:tcW w:type="dxa" w:w="2493"/>
          </w:tcPr>
          <w:p>
            <w:r>
              <w:t>40,95</w:t>
            </w:r>
          </w:p>
        </w:tc>
        <w:tc>
          <w:tcPr>
            <w:tcW w:type="dxa" w:w="2493"/>
          </w:tcPr>
          <w:p>
            <w:r>
              <w:t>86,52</w:t>
            </w:r>
          </w:p>
        </w:tc>
        <w:tc>
          <w:tcPr>
            <w:tcW w:type="dxa" w:w="2493"/>
          </w:tcPr>
          <w:p>
            <w:r>
              <w:t>67,11</w:t>
            </w:r>
          </w:p>
        </w:tc>
      </w:tr>
    </w:tbl>
    <w:p/>
    <w:p>
      <w:r>
        <w:rPr>
          <w:i/>
          <w:color w:val="5B6469"/>
          <w:sz w:val="17"/>
        </w:rPr>
        <w:t>Источники: cbr.ru (решения по ключевой ставке, официальные курсы валют, комментарий «Инфляция»); Росстат (инфляция); economy.gov.ru (средняя цена нефти Urals за январь, май, август 2026 — последний опубликованный месяц на дату среза).</w:t>
      </w:r>
    </w:p>
    <w:p/>
    <w:p>
      <w:pPr>
        <w:pStyle w:val="Caption"/>
      </w:pPr>
      <w:r>
        <w:t xml:space="preserve">Таблица </w:t>
      </w:r>
      <w:r>
        <w:fldChar w:fldCharType="begin"/>
        <w:instrText xml:space="preserve"> SEQ Таблица \* ARABIC </w:instrText>
        <w:fldChar w:fldCharType="separate"/>
        <w:t>2</w:t>
        <w:fldChar w:fldCharType="end"/>
      </w:r>
      <w:r>
        <w:t xml:space="preserve"> – Консенсус РЕНОМЕ: прогноз роста ВВП РФ на текущий год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Источник</w:t>
            </w:r>
          </w:p>
        </w:tc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01.01.2026</w:t>
            </w:r>
          </w:p>
        </w:tc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01.07.2026</w:t>
            </w:r>
          </w:p>
        </w:tc>
        <w:tc>
          <w:tcPr>
            <w:tcW w:type="dxa" w:w="2493"/>
            <w:shd w:fill="075483"/>
          </w:tcPr>
          <w:p>
            <w:r>
              <w:rPr>
                <w:b/>
                <w:color w:val="FFFFFF"/>
              </w:rPr>
              <w:t>Текущая</w:t>
            </w:r>
          </w:p>
        </w:tc>
      </w:tr>
      <w:tr>
        <w:tc>
          <w:tcPr>
            <w:tcW w:type="dxa" w:w="2493"/>
          </w:tcPr>
          <w:p>
            <w:r>
              <w:t>Минэкономразвития РФ</w:t>
            </w:r>
          </w:p>
        </w:tc>
        <w:tc>
          <w:tcPr>
            <w:tcW w:type="dxa" w:w="2493"/>
          </w:tcPr>
          <w:p>
            <w:r>
              <w:t>+1,3%</w:t>
            </w:r>
          </w:p>
        </w:tc>
        <w:tc>
          <w:tcPr>
            <w:tcW w:type="dxa" w:w="2493"/>
          </w:tcPr>
          <w:p>
            <w:r>
              <w:t>+0,4%</w:t>
            </w:r>
          </w:p>
        </w:tc>
        <w:tc>
          <w:tcPr>
            <w:tcW w:type="dxa" w:w="2493"/>
          </w:tcPr>
          <w:p>
            <w:r>
              <w:t>≈+0,6%</w:t>
            </w:r>
          </w:p>
        </w:tc>
      </w:tr>
      <w:tr>
        <w:tc>
          <w:tcPr>
            <w:tcW w:type="dxa" w:w="2493"/>
          </w:tcPr>
          <w:p>
            <w:r>
              <w:t>МВФ (World Economic Outlook)</w:t>
            </w:r>
          </w:p>
        </w:tc>
        <w:tc>
          <w:tcPr>
            <w:tcW w:type="dxa" w:w="2493"/>
          </w:tcPr>
          <w:p>
            <w:r>
              <w:t>—</w:t>
            </w:r>
          </w:p>
        </w:tc>
        <w:tc>
          <w:tcPr>
            <w:tcW w:type="dxa" w:w="2493"/>
          </w:tcPr>
          <w:p>
            <w:r>
              <w:t>+1,1%</w:t>
            </w:r>
          </w:p>
        </w:tc>
        <w:tc>
          <w:tcPr>
            <w:tcW w:type="dxa" w:w="2493"/>
          </w:tcPr>
          <w:p>
            <w:r>
              <w:t>+1,1%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Консенсус РЕНОМЕ (медиана)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+1,3% (n=1)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+0,75% (n=2)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+0,85% (n=2)</w:t>
            </w:r>
          </w:p>
        </w:tc>
      </w:tr>
    </w:tbl>
    <w:p/>
    <w:p>
      <w:r>
        <w:rPr>
          <w:i/>
          <w:color w:val="5B6469"/>
          <w:sz w:val="17"/>
        </w:rPr>
        <w:t>Минэк: прогнозы СЭР от 26.09.2025, 12.05.2026, 02.09.2026. МВФ: WEO, июль 2026 (опубликован 08.07.2026, ближайшая доступная оценка к дате 01.07). Консенсус — медиана значений; при одном источнике медиана не считается, это факт с источником.</w:t>
      </w:r>
    </w:p>
    <w:p/>
    <w:p>
      <w:pPr>
        <w:pStyle w:val="Caption"/>
      </w:pPr>
      <w:r>
        <w:t xml:space="preserve">Рисунок </w:t>
      </w:r>
      <w:r>
        <w:fldChar w:fldCharType="begin"/>
        <w:instrText xml:space="preserve"> SEQ Рисунок \* ARABIC </w:instrText>
        <w:fldChar w:fldCharType="separate"/>
        <w:t>1</w:t>
        <w:fldChar w:fldCharType="end"/>
      </w:r>
      <w:r>
        <w:t xml:space="preserve"> – Ключевая ставка Банка России, июль 2025 — сентябрь 2026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552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key_ra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552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B6469"/>
          <w:sz w:val="17"/>
        </w:rPr>
        <w:t>Источник: АКГ РЕНОМЕ, макрообзор рынка — Консенсус РЕНОМЕ, akgrnm.ru/obzor.html.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